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DDF74" w14:textId="3ED849BC" w:rsidR="001B465E" w:rsidRPr="00FE0C3A" w:rsidRDefault="001B465E" w:rsidP="001B465E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3F08A8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1D620D28" w14:textId="77777777" w:rsidR="001B465E" w:rsidRPr="00FE0C3A" w:rsidRDefault="001B465E" w:rsidP="001B465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559F6ADB" w14:textId="77777777" w:rsidR="001B465E" w:rsidRPr="00FE0C3A" w:rsidRDefault="001B465E" w:rsidP="001B465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17030020" w14:textId="77777777" w:rsidR="001B465E" w:rsidRDefault="001B465E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</w:p>
    <w:p w14:paraId="3095AE49" w14:textId="1934BB52" w:rsidR="00816E19" w:rsidRPr="00E80ACD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E80ACD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Rachunkowość finansowa</w:t>
      </w:r>
    </w:p>
    <w:p w14:paraId="794BF0B2" w14:textId="77777777" w:rsidR="00816E19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816E19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7F73C9F1" w14:textId="77777777" w:rsidR="00816E19" w:rsidRPr="00816E19" w:rsidRDefault="00816E19" w:rsidP="00816E19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18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37"/>
        <w:gridCol w:w="3118"/>
        <w:gridCol w:w="3686"/>
        <w:gridCol w:w="3685"/>
      </w:tblGrid>
      <w:tr w:rsidR="00E23546" w:rsidRPr="00BB476D" w14:paraId="708DA405" w14:textId="77777777" w:rsidTr="00A43E14">
        <w:trPr>
          <w:trHeight w:val="420"/>
          <w:tblHeader/>
        </w:trPr>
        <w:tc>
          <w:tcPr>
            <w:tcW w:w="4537" w:type="dxa"/>
            <w:vMerge w:val="restart"/>
            <w:shd w:val="clear" w:color="auto" w:fill="E2EFD9" w:themeFill="accent6" w:themeFillTint="33"/>
            <w:vAlign w:val="center"/>
          </w:tcPr>
          <w:p w14:paraId="708DA401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0489" w:type="dxa"/>
            <w:gridSpan w:val="3"/>
            <w:shd w:val="clear" w:color="auto" w:fill="E2EFD9" w:themeFill="accent6" w:themeFillTint="33"/>
            <w:vAlign w:val="center"/>
          </w:tcPr>
          <w:p w14:paraId="708DA404" w14:textId="6A1126D8" w:rsidR="00E23546" w:rsidRPr="00BB476D" w:rsidRDefault="00816E19" w:rsidP="00816E1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708DA417" w14:textId="77777777" w:rsidTr="00A43E14">
        <w:trPr>
          <w:trHeight w:val="668"/>
          <w:tblHeader/>
        </w:trPr>
        <w:tc>
          <w:tcPr>
            <w:tcW w:w="4537" w:type="dxa"/>
            <w:vMerge/>
            <w:shd w:val="clear" w:color="auto" w:fill="E2EFD9" w:themeFill="accent6" w:themeFillTint="33"/>
            <w:vAlign w:val="center"/>
          </w:tcPr>
          <w:p w14:paraId="708DA406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E2EFD9" w:themeFill="accent6" w:themeFillTint="33"/>
          </w:tcPr>
          <w:p w14:paraId="708DA407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08" w14:textId="30678391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708DA409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0A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0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708DA40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08DA40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0E" w14:textId="16CE7C08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</w:p>
          <w:p w14:paraId="708DA40F" w14:textId="27FA0B40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1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11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708DA412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8DA413" w14:textId="60DC7D8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="00816E19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……………….</w:t>
            </w:r>
          </w:p>
          <w:p w14:paraId="708DA414" w14:textId="78D0DB23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08DA41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8DA41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816E19" w14:paraId="708DA41C" w14:textId="77777777" w:rsidTr="00A43E14">
        <w:trPr>
          <w:trHeight w:val="280"/>
          <w:tblHeader/>
        </w:trPr>
        <w:tc>
          <w:tcPr>
            <w:tcW w:w="4537" w:type="dxa"/>
            <w:shd w:val="clear" w:color="auto" w:fill="E2EFD9" w:themeFill="accent6" w:themeFillTint="33"/>
            <w:vAlign w:val="center"/>
          </w:tcPr>
          <w:p w14:paraId="708DA418" w14:textId="77777777" w:rsidR="00E23546" w:rsidRPr="00816E19" w:rsidRDefault="00E23546" w:rsidP="00816E1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708DA419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708DA41A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708DA41B" w14:textId="77777777" w:rsidR="00E23546" w:rsidRPr="00816E19" w:rsidRDefault="00E23546" w:rsidP="00816E19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816E1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524EB9" w:rsidRPr="00BB476D" w14:paraId="708DA421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4537" w:type="dxa"/>
          </w:tcPr>
          <w:p w14:paraId="657B34AC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6.1. Rachunkowość finansowa jednostek, w tym spółek publicznych – według ustawy o rachunkowości (UoR) i </w:t>
            </w:r>
          </w:p>
          <w:p w14:paraId="42A090D6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MSR</w:t>
            </w: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footnoteReference w:id="3"/>
            </w:r>
            <w:r w:rsidRPr="009158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(z wyłączeniem jednostek prowadzących działalność na podstawie prawa bankowego, ustawy o obrocie instrumentami finansowymi, przepisów o funduszach inwestycyjnych, ustawy o spółdzielczych kasach oszczędnościowo-kredytowych, ustawy o instytucjach płatniczych oraz ustawy o działalności ubezpieczeniowej, ustawy o organizacji i funkcjonowaniu funduszy emerytalnych i ustawy o finansach publicznych)</w:t>
            </w:r>
          </w:p>
          <w:p w14:paraId="24E1403B" w14:textId="77777777" w:rsidR="00915883" w:rsidRPr="00915883" w:rsidRDefault="00915883" w:rsidP="00915883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 xml:space="preserve">  </w:t>
            </w:r>
          </w:p>
          <w:p w14:paraId="25E1FB16" w14:textId="15DF027A" w:rsidR="00EA3FD9" w:rsidRPr="00EA3FD9" w:rsidRDefault="00915883" w:rsidP="00EA3FD9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6.1.1. Wycena początkowa, bieżąca i bilansowa poszczególnych   składników aktywów i pasywów</w:t>
            </w:r>
          </w:p>
          <w:p w14:paraId="25E5B03C" w14:textId="5DB714A9" w:rsidR="00524EB9" w:rsidRPr="00915883" w:rsidRDefault="00524EB9" w:rsidP="00915883">
            <w:pPr>
              <w:spacing w:line="256" w:lineRule="auto"/>
              <w:rPr>
                <w:rFonts w:ascii="Times New Roman" w:eastAsia="Calibri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86EEF48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2DE5D25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7A832ED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7557E92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7D1B0A1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271CF95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335385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2897D3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B4896DB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D0128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B64472C" w14:textId="77777777" w:rsidR="00524EB9" w:rsidRDefault="00524EB9" w:rsidP="00C3281C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8DA420" w14:textId="77777777" w:rsidR="00524EB9" w:rsidRPr="00BB476D" w:rsidRDefault="00524EB9" w:rsidP="005929A5"/>
        </w:tc>
      </w:tr>
      <w:tr w:rsidR="00524EB9" w:rsidRPr="00BB476D" w14:paraId="217C59C8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13"/>
        </w:trPr>
        <w:tc>
          <w:tcPr>
            <w:tcW w:w="4537" w:type="dxa"/>
          </w:tcPr>
          <w:p w14:paraId="120E5F82" w14:textId="77777777" w:rsidR="00915883" w:rsidRP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6.1.2. Ujęcie w księgach rachunkowych i prezentacja w sprawozdaniu finansowym zdarzeń związanych z </w:t>
            </w:r>
          </w:p>
          <w:p w14:paraId="6319806C" w14:textId="42CE573C" w:rsidR="00524EB9" w:rsidRDefault="008D44B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działalnością operacyjną</w:t>
            </w:r>
            <w:r w:rsidR="0091588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, inwestycyjną i finansow</w:t>
            </w:r>
            <w:r w:rsidR="006C2EE2">
              <w:rPr>
                <w:rFonts w:ascii="Times New Roman" w:eastAsia="Calibri" w:hAnsi="Times New Roman" w:cs="Times New Roman"/>
                <w:sz w:val="18"/>
                <w:szCs w:val="18"/>
              </w:rPr>
              <w:t>ą</w:t>
            </w:r>
          </w:p>
        </w:tc>
        <w:tc>
          <w:tcPr>
            <w:tcW w:w="3118" w:type="dxa"/>
          </w:tcPr>
          <w:p w14:paraId="7E115F58" w14:textId="77777777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60940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81B1CB1" w14:textId="77777777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323DA59" w14:textId="1EA60BA5" w:rsidR="00524EB9" w:rsidRDefault="00524EB9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935261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A82B1F6" w14:textId="020B0A05" w:rsidR="006C2EE2" w:rsidRDefault="0091588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6.1.3. Ujęcie w księgach rachunkowych i prezentacja w sprawozdaniu finansowym różnic pomiędzy wyceną bieżącą i wyceną bilansową aktywów i pasywów </w:t>
            </w:r>
          </w:p>
          <w:p w14:paraId="7BC25349" w14:textId="5F8D3A31" w:rsid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40E3BA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902064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DB7242A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53123BF" w14:textId="3647CE4E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4B5665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7A2B395" w14:textId="73D9E8AE" w:rsidR="008D44B3" w:rsidRPr="006C2EE2" w:rsidRDefault="0091588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6.1.4. Księgowe ujęcie i prezentacja w sprawozdaniu </w:t>
            </w:r>
            <w:r w:rsidR="008D44B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finansowym procesu</w:t>
            </w: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sprzedaży produktów i towaró</w:t>
            </w:r>
            <w:r w:rsidR="006C2EE2">
              <w:rPr>
                <w:rFonts w:ascii="Times New Roman" w:eastAsia="Calibri" w:hAnsi="Times New Roman" w:cs="Times New Roman"/>
                <w:sz w:val="18"/>
                <w:szCs w:val="18"/>
              </w:rPr>
              <w:t>w</w:t>
            </w:r>
          </w:p>
          <w:p w14:paraId="1C2F584B" w14:textId="029FEABB" w:rsidR="00915883" w:rsidRDefault="00915883" w:rsidP="0091588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BBB855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5AF02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EBB661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703E433" w14:textId="5B530D3A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2096713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02476CC2" w14:textId="77777777" w:rsidR="00915883" w:rsidRDefault="0091588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6.1.5. Wycena, ujęcie w księgach rachunkowych i </w:t>
            </w:r>
            <w:r w:rsidR="008D44B3"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>prezentacja w</w:t>
            </w:r>
            <w:r w:rsidRPr="009158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sprawozdaniu finansowym pozostałej działalności operacyjnej</w:t>
            </w:r>
          </w:p>
          <w:p w14:paraId="7644413B" w14:textId="404C0ABC" w:rsidR="006C2EE2" w:rsidRPr="006C2EE2" w:rsidRDefault="006C2EE2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3731AD9C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3877BD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FA6568B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C74315C" w14:textId="67A3140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2764890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8541748" w14:textId="379750FB" w:rsidR="00915883" w:rsidRPr="006C2EE2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6.1.6. Wycena, księgowe ujęcie i prezentacja w </w:t>
            </w:r>
            <w:r w:rsidR="0013495D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sprawozdaniu finansowym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operacji finansowych</w:t>
            </w:r>
          </w:p>
        </w:tc>
        <w:tc>
          <w:tcPr>
            <w:tcW w:w="3118" w:type="dxa"/>
          </w:tcPr>
          <w:p w14:paraId="6C0A0C7F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0E05E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E04C26A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682EA55" w14:textId="647785C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A5BDA33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2"/>
        </w:trPr>
        <w:tc>
          <w:tcPr>
            <w:tcW w:w="4537" w:type="dxa"/>
          </w:tcPr>
          <w:p w14:paraId="30060E37" w14:textId="7969E30B" w:rsidR="00915883" w:rsidRPr="006C2EE2" w:rsidRDefault="008D44B3" w:rsidP="006C2EE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6.1.7. Ustalanie wyniku finansowego i jego rozliczanie</w:t>
            </w:r>
          </w:p>
        </w:tc>
        <w:tc>
          <w:tcPr>
            <w:tcW w:w="3118" w:type="dxa"/>
          </w:tcPr>
          <w:p w14:paraId="64B2C89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35C217E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07DC83C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6EAD78B" w14:textId="27D84CC6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0C9730CD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7A77A141" w14:textId="0D8574BE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6.1.8. Zasady wyceny, ujmowania i prezentacji w   sprawozdaniu finansowym wybranych zagadnień, w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szczególności </w:t>
            </w:r>
            <w:r w:rsidR="00004C80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takich jak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</w:p>
          <w:p w14:paraId="5A7233EC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a)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umowy długoterminowe, </w:t>
            </w:r>
          </w:p>
          <w:p w14:paraId="6A3EC191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b)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leasing,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  <w:p w14:paraId="0494D9E8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c)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utrata wartości aktywów, </w:t>
            </w:r>
          </w:p>
          <w:p w14:paraId="5D7840EB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d)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odroczony podatek dochodowy,</w:t>
            </w:r>
          </w:p>
          <w:p w14:paraId="695F5494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e)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dotacje rządowe, </w:t>
            </w:r>
          </w:p>
          <w:p w14:paraId="093CB079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f)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instrumenty finansowe, </w:t>
            </w:r>
          </w:p>
          <w:p w14:paraId="784ACB59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g)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zmiany zasad rachunkowości </w:t>
            </w:r>
          </w:p>
          <w:p w14:paraId="68681AC7" w14:textId="77777777" w:rsidR="008D44B3" w:rsidRPr="008D44B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h)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zdarzenia po dacie bilansu,</w:t>
            </w:r>
          </w:p>
          <w:p w14:paraId="22670FAD" w14:textId="7CD83176" w:rsidR="00915883" w:rsidRDefault="008D44B3" w:rsidP="00004C80">
            <w:pPr>
              <w:ind w:firstLine="21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i)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błąd lat ubiegłych</w:t>
            </w:r>
          </w:p>
        </w:tc>
        <w:tc>
          <w:tcPr>
            <w:tcW w:w="3118" w:type="dxa"/>
          </w:tcPr>
          <w:p w14:paraId="61FF5F79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D128C0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11543D7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CE7CD2" w14:textId="0ABA2696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3C629D6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753E5D5" w14:textId="5E4603D3" w:rsidR="008D44B3" w:rsidRPr="008D44B3" w:rsidRDefault="008D44B3" w:rsidP="00004C8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6.1.9.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Szczególne wymagania wobec rachunkowości </w:t>
            </w:r>
            <w:r w:rsidR="00004C80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spółek </w:t>
            </w:r>
            <w:r w:rsidR="00004C80">
              <w:rPr>
                <w:rFonts w:ascii="Times New Roman" w:eastAsia="Calibri" w:hAnsi="Times New Roman" w:cs="Times New Roman"/>
                <w:sz w:val="18"/>
                <w:szCs w:val="18"/>
              </w:rPr>
              <w:t>publicznych</w:t>
            </w:r>
          </w:p>
          <w:p w14:paraId="30FF45DA" w14:textId="37EBDD88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C0AF5F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C277D9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20A931B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F37D7E8" w14:textId="6155BB4C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43748CB5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37E68922" w14:textId="77777777" w:rsidR="008D44B3" w:rsidRPr="00004C80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04C8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6.2. Zmiana podstawy prawnej sporządzania sprawozdań finansowych</w:t>
            </w:r>
          </w:p>
          <w:p w14:paraId="689D451E" w14:textId="3652593B" w:rsidR="006C2EE2" w:rsidRPr="006C2EE2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6.2.1.Zmiana podstawy prawnej sporządzania sprawozdań finansowych</w:t>
            </w:r>
          </w:p>
          <w:p w14:paraId="517A5112" w14:textId="25E0C674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4F504C2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C84FD20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4EF897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478A592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627AA65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56BEB6D" w14:textId="17748BBB" w:rsidR="008D44B3" w:rsidRPr="0083436E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6.3. Rachunkowość finansowa jednostek prowadzących działalność na podstawie prawa bankowego,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obrocie instrumentami finansowymi, przepisów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funduszach inwestycyjnych, ustawy o spółdzielczych kasach oszczędnościowo-kredytowych oraz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instytucjach płatniczych – według ustawy o</w:t>
            </w:r>
            <w:r w:rsid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83436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rachunkowości (UoR) i MSR.</w:t>
            </w:r>
          </w:p>
          <w:p w14:paraId="38338D9D" w14:textId="77777777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CCC91C9" w14:textId="6A06051F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6.3.1.</w:t>
            </w:r>
            <w:r w:rsidR="008343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Wycena początkowa, bieżąca i bilansowa </w:t>
            </w:r>
          </w:p>
          <w:p w14:paraId="4E0DEE28" w14:textId="77777777" w:rsidR="00915883" w:rsidRDefault="0083436E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poszczególnych składników</w:t>
            </w:r>
            <w:r w:rsidR="008D44B3"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aktywów i pasywów.</w:t>
            </w:r>
          </w:p>
          <w:p w14:paraId="099B310E" w14:textId="7856FD15" w:rsidR="0083436E" w:rsidRDefault="0083436E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66AD834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1B59D9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F6C3400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513C509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1EF612AA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21AD439" w14:textId="77777777" w:rsidR="008D44B3" w:rsidRDefault="008D44B3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6.3.2. Ujęcie w księgach rachunkowych zdarzeń 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gospodarczych związanych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z działalnością operacyjną oraz inwestycyjną i finansową scharakteryzowanych w punkcie 6.1.2.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ponadto operacji specyficznych dla działalności bankowej, </w:t>
            </w:r>
            <w:r w:rsidR="0083436E"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maklerskiej, inwestycyjnej</w:t>
            </w:r>
            <w:r w:rsidRPr="00C060D0">
              <w:rPr>
                <w:rFonts w:ascii="Times New Roman" w:eastAsia="Calibri" w:hAnsi="Times New Roman" w:cs="Times New Roman"/>
                <w:sz w:val="18"/>
                <w:szCs w:val="18"/>
              </w:rPr>
              <w:t>, spółdzielczych kas oszczędnościowo- kredytowych i instytucji płatniczych</w:t>
            </w:r>
          </w:p>
          <w:p w14:paraId="7DF59346" w14:textId="637A6A33" w:rsidR="006C2EE2" w:rsidRPr="006C2EE2" w:rsidRDefault="006C2EE2" w:rsidP="006C2EE2">
            <w:pPr>
              <w:rPr>
                <w:rFonts w:ascii="Times New Roman" w:eastAsia="Calibri" w:hAnsi="Times New Roman" w:cs="Times New Roman"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42DDE051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1FCF3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C5CD196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FE13D36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5883" w:rsidRPr="00BB476D" w14:paraId="16458F5E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532D43F" w14:textId="77777777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6.3.3. Specyfika inwentaryzacji w bankach, domach</w:t>
            </w:r>
          </w:p>
          <w:p w14:paraId="2A0529F0" w14:textId="6BD48545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maklerskich, funduszach inwestycyjnych, spółdzielczych kasach oszczędnościowo-kredytowych i instytucjach płatniczych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9EC43A1" w14:textId="3BBB4098" w:rsidR="00915883" w:rsidRDefault="0091588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65C563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EB447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7AD6B6E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2FF46A3" w14:textId="77777777" w:rsidR="00915883" w:rsidRDefault="0091588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5BB3EBC6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9A9E7A7" w14:textId="141D8B23" w:rsidR="008D44B3" w:rsidRP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6.3.4.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Ujęcie w księgach rachunkowych różnic pomiędzy</w:t>
            </w:r>
          </w:p>
          <w:p w14:paraId="27F272AD" w14:textId="2628C2BE" w:rsid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wyceną początkową, bieżącą i bilansową.</w:t>
            </w:r>
          </w:p>
        </w:tc>
        <w:tc>
          <w:tcPr>
            <w:tcW w:w="3118" w:type="dxa"/>
          </w:tcPr>
          <w:p w14:paraId="19CCDCE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26299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2158DE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FF16B73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4B90A07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4BA04162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6.3.5. Wycena i księgowe ujęcie operacji pochodnymi instrumentami finansowymi oraz stosowanie rachunkowości zabezpieczeń.</w:t>
            </w:r>
          </w:p>
          <w:p w14:paraId="46456C11" w14:textId="19DFE7BB" w:rsidR="00D27003" w:rsidRDefault="00D2700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1D148D2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04FA99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B299810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5BB7D0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CEEAAD3" w14:textId="77777777" w:rsidTr="00C060D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4537" w:type="dxa"/>
          </w:tcPr>
          <w:p w14:paraId="30DA2F4D" w14:textId="32D164AD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6.3.6.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Ustalanie wyniku finansowego i jego rozliczanie.</w:t>
            </w:r>
          </w:p>
        </w:tc>
        <w:tc>
          <w:tcPr>
            <w:tcW w:w="3118" w:type="dxa"/>
          </w:tcPr>
          <w:p w14:paraId="508A1271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5575C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2939D0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3FC9BB8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6C1D4E6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242E8D5" w14:textId="7A3C0A4D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6.3.7. Szczegółowe zasady rachunkowości dla firm inwestycyjnych instytucji płatniczych</w:t>
            </w:r>
          </w:p>
        </w:tc>
        <w:tc>
          <w:tcPr>
            <w:tcW w:w="3118" w:type="dxa"/>
          </w:tcPr>
          <w:p w14:paraId="7D2026F1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BEAFBD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0CC0D0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F1C4F5C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6A1BDC2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35A0E7B0" w14:textId="77777777" w:rsidR="008D44B3" w:rsidRDefault="008D44B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100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6.4. Rachunkowość finansowa jednostek prowadzących działalność na podstawie ustawy o działalności ubezpieczeniowej i reasekuracyjnej oraz ustawy o organizacji i funkcjonowaniu funduszy emerytalnych – według ustawy o rachunkowości i MSR.  </w:t>
            </w:r>
          </w:p>
          <w:p w14:paraId="25B8DCD3" w14:textId="77777777" w:rsidR="00D27003" w:rsidRPr="00610017" w:rsidRDefault="00D27003" w:rsidP="008D44B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565AE587" w14:textId="77777777" w:rsidR="008D44B3" w:rsidRDefault="008D44B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10017">
              <w:rPr>
                <w:rFonts w:ascii="Times New Roman" w:eastAsia="Calibri" w:hAnsi="Times New Roman" w:cs="Times New Roman"/>
                <w:sz w:val="18"/>
                <w:szCs w:val="18"/>
              </w:rPr>
              <w:t>6.4.1.</w:t>
            </w:r>
            <w:r w:rsidR="0061001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10017">
              <w:rPr>
                <w:rFonts w:ascii="Times New Roman" w:eastAsia="Calibri" w:hAnsi="Times New Roman" w:cs="Times New Roman"/>
                <w:sz w:val="18"/>
                <w:szCs w:val="18"/>
              </w:rPr>
              <w:t>Wycena początkowa i bilansowa poszczególnych składników aktywów i pasywów.</w:t>
            </w:r>
          </w:p>
          <w:p w14:paraId="44DDEE82" w14:textId="51A351B5" w:rsidR="00D27003" w:rsidRPr="00610017" w:rsidRDefault="00D27003" w:rsidP="008D44B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9536B9B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13D75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13987A3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715604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2056A50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276AA94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6.4.2. Ujęcie w księgach rachunkowych zdarzeń gospodarczych związanych z działalnością operacyjną, inwestycyjną i finansową scharakteryzowanych w punkcie 6.1.2., a ponadto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D44B3">
              <w:rPr>
                <w:rFonts w:ascii="Times New Roman" w:eastAsia="Calibri" w:hAnsi="Times New Roman" w:cs="Times New Roman"/>
                <w:sz w:val="18"/>
                <w:szCs w:val="18"/>
              </w:rPr>
              <w:t>operacji specyficznych dla działalności ubezpieczeniowej</w:t>
            </w:r>
          </w:p>
          <w:p w14:paraId="3037AECC" w14:textId="46FA4C47" w:rsidR="006C2EE2" w:rsidRDefault="006C2EE2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C48512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3998F5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3ADC878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CF078C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41DA7BBB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731351A7" w14:textId="12F9BD43" w:rsidR="008D44B3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6.4.3.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Ujęcie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 księgach rachunkowych różnic pomiędzy wyceną początkową, bieżącą i bilansową.</w:t>
            </w:r>
          </w:p>
        </w:tc>
        <w:tc>
          <w:tcPr>
            <w:tcW w:w="3118" w:type="dxa"/>
          </w:tcPr>
          <w:p w14:paraId="226D655B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333C136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730581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4AF93AA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EC0B48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E14" w:rsidRPr="00BB476D" w14:paraId="122910F9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9E2D8FF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Księgowe ujęcie pozostałych kosztów i przychodów technicznych i oraz pozostałych kosztów i przychodów operacyjnych.</w:t>
            </w:r>
          </w:p>
          <w:p w14:paraId="455A1203" w14:textId="1DB9EDB5" w:rsidR="006C2EE2" w:rsidRPr="0013495D" w:rsidRDefault="006C2EE2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B71D941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9A86D20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D6F4EA6" w14:textId="77777777" w:rsidR="00A43E14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44B3" w:rsidRPr="00BB476D" w14:paraId="330679A1" w14:textId="77777777" w:rsidTr="006C2EE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4537" w:type="dxa"/>
          </w:tcPr>
          <w:p w14:paraId="16CE9C33" w14:textId="6D1EAB32" w:rsidR="008D44B3" w:rsidRDefault="00A43E14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Ustalanie</w:t>
            </w:r>
            <w:r w:rsidR="0013495D"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wyniku technicznego i finansowego.</w:t>
            </w:r>
          </w:p>
        </w:tc>
        <w:tc>
          <w:tcPr>
            <w:tcW w:w="3118" w:type="dxa"/>
          </w:tcPr>
          <w:p w14:paraId="0F4AFED6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B1F14F5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273E435" w14:textId="77777777" w:rsidR="008D44B3" w:rsidRDefault="008D44B3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01DE14F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2A98100B" w14:textId="056F2A37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6.4.6. Specyficzne zagadnienia rachunkowości funduszy emerytalnych.</w:t>
            </w:r>
          </w:p>
          <w:p w14:paraId="57438E8D" w14:textId="386BF9DA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19D3E5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5C08CA4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6E04C1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5D4DAE2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170146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505ACF73" w14:textId="77777777" w:rsidR="0013495D" w:rsidRPr="00A43E14" w:rsidRDefault="0013495D" w:rsidP="0013495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6.5. Rachunkowość jednostek sektora finansów publicznych</w:t>
            </w:r>
          </w:p>
          <w:p w14:paraId="6C65CE00" w14:textId="77777777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6.5.1. Rachunkowość jednostek sektora finansów publicznych posiadających osobowość prawną.</w:t>
            </w:r>
          </w:p>
          <w:p w14:paraId="4D81A342" w14:textId="46D53F8D" w:rsidR="006C2EE2" w:rsidRDefault="006C2EE2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35E23F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160E89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DC83CA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5CCA5C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7D94565F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109C027D" w14:textId="3F043C5C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6.5.2. Rachunkowość budżetowa, w tym jednostek </w:t>
            </w:r>
            <w:r w:rsidR="00A43E14"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samorządu terytorialnego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</w:tcPr>
          <w:p w14:paraId="6DD58EBB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C183CF7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8E7BB7A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D1018C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21616334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4BC12F61" w14:textId="77777777" w:rsidR="0013495D" w:rsidRPr="00A43E14" w:rsidRDefault="0013495D" w:rsidP="0013495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E1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 6. Rachunkowość jednostek w szczególnych sytuacjach - według ustawy o rachunkowości (UoR) i MSR</w:t>
            </w:r>
          </w:p>
          <w:p w14:paraId="4D4372B5" w14:textId="77777777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F946039" w14:textId="208C690B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6.6.1. Rachunkowość jednostek w szczególnych sytuacjach (według ustawy o rachunkowości i MSR), w tym: </w:t>
            </w:r>
          </w:p>
          <w:p w14:paraId="1FA4F523" w14:textId="77777777" w:rsidR="00A43E14" w:rsidRPr="0013495D" w:rsidRDefault="00A43E14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435F2A" w14:textId="77777777" w:rsid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a)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zakładanie i przekształcanie jednostek gospodarczych,</w:t>
            </w:r>
          </w:p>
          <w:p w14:paraId="6433E534" w14:textId="23650A8E" w:rsidR="00A43E14" w:rsidRDefault="00A43E14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632158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5ECFA4C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F4AF97E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A524657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1D2B0622" w14:textId="77777777" w:rsidTr="00C060D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4537" w:type="dxa"/>
          </w:tcPr>
          <w:p w14:paraId="1D8E7B24" w14:textId="1D62BCEC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b)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łączenie, podział i przejęcia spółek,</w:t>
            </w:r>
          </w:p>
        </w:tc>
        <w:tc>
          <w:tcPr>
            <w:tcW w:w="3118" w:type="dxa"/>
          </w:tcPr>
          <w:p w14:paraId="638B42D6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16E6DF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FA3EE33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EF5F7A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3495D" w:rsidRPr="00BB476D" w14:paraId="028C3A2C" w14:textId="77777777" w:rsidTr="00A43E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4537" w:type="dxa"/>
          </w:tcPr>
          <w:p w14:paraId="092198E6" w14:textId="5A5CC709" w:rsidR="0013495D" w:rsidRPr="0013495D" w:rsidRDefault="0013495D" w:rsidP="001349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c)</w:t>
            </w:r>
            <w:r w:rsidR="00A43E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3495D">
              <w:rPr>
                <w:rFonts w:ascii="Times New Roman" w:eastAsia="Calibri" w:hAnsi="Times New Roman" w:cs="Times New Roman"/>
                <w:sz w:val="18"/>
                <w:szCs w:val="18"/>
              </w:rPr>
              <w:t>postępowanie restrukturyzacyjne, likwidacja, upadłość jednostek gospodarczych</w:t>
            </w:r>
          </w:p>
        </w:tc>
        <w:tc>
          <w:tcPr>
            <w:tcW w:w="3118" w:type="dxa"/>
          </w:tcPr>
          <w:p w14:paraId="5DFF58ED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8F368B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D0571BF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4E9A5D9" w14:textId="77777777" w:rsidR="0013495D" w:rsidRDefault="0013495D" w:rsidP="00C749E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08DA422" w14:textId="77777777" w:rsidR="00E5717C" w:rsidRDefault="00E5717C" w:rsidP="00AE566E"/>
    <w:p w14:paraId="0C4BFAF1" w14:textId="5FA035EF" w:rsidR="00826763" w:rsidRPr="00746565" w:rsidRDefault="004B74A0" w:rsidP="00826763">
      <w:pPr>
        <w:ind w:firstLine="1119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9929F3">
        <w:rPr>
          <w:rFonts w:ascii="Times New Roman" w:hAnsi="Times New Roman" w:cs="Times New Roman"/>
          <w:sz w:val="16"/>
          <w:szCs w:val="16"/>
        </w:rPr>
        <w:t>…………………….</w:t>
      </w:r>
    </w:p>
    <w:p w14:paraId="59E697A3" w14:textId="36CCF6FC" w:rsidR="00826763" w:rsidRPr="00746565" w:rsidRDefault="00826763" w:rsidP="00826763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</w:t>
      </w:r>
    </w:p>
    <w:p w14:paraId="2AEAC9C9" w14:textId="77777777" w:rsidR="00826763" w:rsidRDefault="00826763" w:rsidP="00AE566E"/>
    <w:sectPr w:rsidR="00826763" w:rsidSect="00915883">
      <w:footerReference w:type="default" r:id="rId7"/>
      <w:footnotePr>
        <w:numRestart w:val="eachPage"/>
      </w:footnotePr>
      <w:pgSz w:w="16838" w:h="11906" w:orient="landscape"/>
      <w:pgMar w:top="567" w:right="568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9191" w14:textId="77777777" w:rsidR="00137FD9" w:rsidRDefault="00137FD9" w:rsidP="00E23546">
      <w:pPr>
        <w:spacing w:after="0" w:line="240" w:lineRule="auto"/>
      </w:pPr>
      <w:r>
        <w:separator/>
      </w:r>
    </w:p>
  </w:endnote>
  <w:endnote w:type="continuationSeparator" w:id="0">
    <w:p w14:paraId="34B0124D" w14:textId="77777777" w:rsidR="00137FD9" w:rsidRDefault="00137FD9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708DA427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A57">
          <w:rPr>
            <w:noProof/>
          </w:rPr>
          <w:t>1</w:t>
        </w:r>
        <w:r>
          <w:fldChar w:fldCharType="end"/>
        </w:r>
      </w:p>
    </w:sdtContent>
  </w:sdt>
  <w:p w14:paraId="708DA428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C5A65" w14:textId="77777777" w:rsidR="00137FD9" w:rsidRDefault="00137FD9" w:rsidP="00E23546">
      <w:pPr>
        <w:spacing w:after="0" w:line="240" w:lineRule="auto"/>
      </w:pPr>
      <w:r>
        <w:separator/>
      </w:r>
    </w:p>
  </w:footnote>
  <w:footnote w:type="continuationSeparator" w:id="0">
    <w:p w14:paraId="2619C969" w14:textId="77777777" w:rsidR="00137FD9" w:rsidRDefault="00137FD9" w:rsidP="00E23546">
      <w:pPr>
        <w:spacing w:after="0" w:line="240" w:lineRule="auto"/>
      </w:pPr>
      <w:r>
        <w:continuationSeparator/>
      </w:r>
    </w:p>
  </w:footnote>
  <w:footnote w:id="1">
    <w:p w14:paraId="708DA429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08DA42A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708DA42B" w14:textId="77777777" w:rsidR="00E23546" w:rsidRPr="00915883" w:rsidRDefault="00E23546" w:rsidP="00E23546">
      <w:pPr>
        <w:pStyle w:val="Tekstprzypisudolnego"/>
        <w:rPr>
          <w:sz w:val="16"/>
          <w:szCs w:val="16"/>
        </w:rPr>
      </w:pPr>
    </w:p>
  </w:footnote>
  <w:footnote w:id="3">
    <w:p w14:paraId="48F6C393" w14:textId="77777777" w:rsidR="00915883" w:rsidRDefault="00915883" w:rsidP="0091588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Międzynarodowe Standardy Rachunkowości (MSR) w rozumieniu ustawy z dnia 29 września 1994 r. o rachunkowości (t.j. Dz.U. z 2021 r. poz.217 z późn. zm.).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96D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383" w:hanging="360"/>
      </w:p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 w15:restartNumberingAfterBreak="0">
    <w:nsid w:val="13641004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52FC6"/>
    <w:multiLevelType w:val="hybridMultilevel"/>
    <w:tmpl w:val="F506A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04F"/>
    <w:multiLevelType w:val="hybridMultilevel"/>
    <w:tmpl w:val="6E9A7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03514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43D69"/>
    <w:multiLevelType w:val="hybridMultilevel"/>
    <w:tmpl w:val="C180F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85027"/>
    <w:multiLevelType w:val="hybridMultilevel"/>
    <w:tmpl w:val="60CAC1DA"/>
    <w:lvl w:ilvl="0" w:tplc="04150017">
      <w:start w:val="1"/>
      <w:numFmt w:val="lowerLetter"/>
      <w:lvlText w:val="%1)"/>
      <w:lvlJc w:val="left"/>
      <w:pPr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8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535A3"/>
    <w:multiLevelType w:val="hybridMultilevel"/>
    <w:tmpl w:val="CE3ED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52CBB"/>
    <w:multiLevelType w:val="hybridMultilevel"/>
    <w:tmpl w:val="615C66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966F26"/>
    <w:multiLevelType w:val="hybridMultilevel"/>
    <w:tmpl w:val="8AB49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4DAA4912"/>
    <w:multiLevelType w:val="hybridMultilevel"/>
    <w:tmpl w:val="E22EA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36D49"/>
    <w:multiLevelType w:val="hybridMultilevel"/>
    <w:tmpl w:val="A2AC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73F99"/>
    <w:multiLevelType w:val="hybridMultilevel"/>
    <w:tmpl w:val="9686160C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09667">
    <w:abstractNumId w:val="17"/>
  </w:num>
  <w:num w:numId="2" w16cid:durableId="1138298783">
    <w:abstractNumId w:val="9"/>
  </w:num>
  <w:num w:numId="3" w16cid:durableId="666715881">
    <w:abstractNumId w:val="2"/>
  </w:num>
  <w:num w:numId="4" w16cid:durableId="1551649434">
    <w:abstractNumId w:val="13"/>
  </w:num>
  <w:num w:numId="5" w16cid:durableId="20830201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0876673">
    <w:abstractNumId w:val="8"/>
  </w:num>
  <w:num w:numId="7" w16cid:durableId="1997567237">
    <w:abstractNumId w:val="7"/>
  </w:num>
  <w:num w:numId="8" w16cid:durableId="1272663463">
    <w:abstractNumId w:val="1"/>
  </w:num>
  <w:num w:numId="9" w16cid:durableId="917402720">
    <w:abstractNumId w:val="16"/>
  </w:num>
  <w:num w:numId="10" w16cid:durableId="2062243049">
    <w:abstractNumId w:val="0"/>
  </w:num>
  <w:num w:numId="11" w16cid:durableId="205455542">
    <w:abstractNumId w:val="5"/>
  </w:num>
  <w:num w:numId="12" w16cid:durableId="741829032">
    <w:abstractNumId w:val="4"/>
  </w:num>
  <w:num w:numId="13" w16cid:durableId="425271826">
    <w:abstractNumId w:val="14"/>
  </w:num>
  <w:num w:numId="14" w16cid:durableId="1941182826">
    <w:abstractNumId w:val="10"/>
  </w:num>
  <w:num w:numId="15" w16cid:durableId="1078551921">
    <w:abstractNumId w:val="15"/>
  </w:num>
  <w:num w:numId="16" w16cid:durableId="673917068">
    <w:abstractNumId w:val="12"/>
  </w:num>
  <w:num w:numId="17" w16cid:durableId="1166215188">
    <w:abstractNumId w:val="3"/>
  </w:num>
  <w:num w:numId="18" w16cid:durableId="1858538547">
    <w:abstractNumId w:val="6"/>
  </w:num>
  <w:num w:numId="19" w16cid:durableId="1462380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379C"/>
    <w:rsid w:val="00004C80"/>
    <w:rsid w:val="0003299D"/>
    <w:rsid w:val="0005770F"/>
    <w:rsid w:val="00076527"/>
    <w:rsid w:val="00094AE2"/>
    <w:rsid w:val="000C3A79"/>
    <w:rsid w:val="000E6F52"/>
    <w:rsid w:val="000E791C"/>
    <w:rsid w:val="000F44D8"/>
    <w:rsid w:val="00127DE7"/>
    <w:rsid w:val="0013495D"/>
    <w:rsid w:val="00137FD9"/>
    <w:rsid w:val="00142073"/>
    <w:rsid w:val="001527AD"/>
    <w:rsid w:val="00181271"/>
    <w:rsid w:val="001B465E"/>
    <w:rsid w:val="00234D0E"/>
    <w:rsid w:val="00244484"/>
    <w:rsid w:val="00290D98"/>
    <w:rsid w:val="002B7583"/>
    <w:rsid w:val="00305630"/>
    <w:rsid w:val="00311C12"/>
    <w:rsid w:val="0031249B"/>
    <w:rsid w:val="003313A3"/>
    <w:rsid w:val="00350D93"/>
    <w:rsid w:val="00365D0A"/>
    <w:rsid w:val="003B2DFE"/>
    <w:rsid w:val="003C1D8B"/>
    <w:rsid w:val="003F02E7"/>
    <w:rsid w:val="003F08A8"/>
    <w:rsid w:val="003F69E5"/>
    <w:rsid w:val="004219A6"/>
    <w:rsid w:val="00443EC5"/>
    <w:rsid w:val="00462A57"/>
    <w:rsid w:val="00473D76"/>
    <w:rsid w:val="004B74A0"/>
    <w:rsid w:val="004D1EF7"/>
    <w:rsid w:val="00524EB9"/>
    <w:rsid w:val="005630C1"/>
    <w:rsid w:val="0057580B"/>
    <w:rsid w:val="00577FDA"/>
    <w:rsid w:val="00596BEF"/>
    <w:rsid w:val="00610017"/>
    <w:rsid w:val="00614563"/>
    <w:rsid w:val="00666B16"/>
    <w:rsid w:val="00685FA2"/>
    <w:rsid w:val="006C2EE2"/>
    <w:rsid w:val="006D771E"/>
    <w:rsid w:val="006F1D35"/>
    <w:rsid w:val="00714B21"/>
    <w:rsid w:val="00723577"/>
    <w:rsid w:val="0078513D"/>
    <w:rsid w:val="00791267"/>
    <w:rsid w:val="007C61EB"/>
    <w:rsid w:val="00816E19"/>
    <w:rsid w:val="0082318A"/>
    <w:rsid w:val="008265BD"/>
    <w:rsid w:val="00826763"/>
    <w:rsid w:val="00827D25"/>
    <w:rsid w:val="0083436E"/>
    <w:rsid w:val="00842B05"/>
    <w:rsid w:val="00880601"/>
    <w:rsid w:val="008A1263"/>
    <w:rsid w:val="008D44B3"/>
    <w:rsid w:val="008F0210"/>
    <w:rsid w:val="00915883"/>
    <w:rsid w:val="00952B01"/>
    <w:rsid w:val="00965E4E"/>
    <w:rsid w:val="00976530"/>
    <w:rsid w:val="0097695A"/>
    <w:rsid w:val="009929F3"/>
    <w:rsid w:val="009A3A4E"/>
    <w:rsid w:val="009E153A"/>
    <w:rsid w:val="00A339B3"/>
    <w:rsid w:val="00A43E14"/>
    <w:rsid w:val="00AE4E2F"/>
    <w:rsid w:val="00AE566E"/>
    <w:rsid w:val="00B026BA"/>
    <w:rsid w:val="00B0630B"/>
    <w:rsid w:val="00B06ED1"/>
    <w:rsid w:val="00B14896"/>
    <w:rsid w:val="00B22DA4"/>
    <w:rsid w:val="00B3332F"/>
    <w:rsid w:val="00C060D0"/>
    <w:rsid w:val="00C234BB"/>
    <w:rsid w:val="00C3281C"/>
    <w:rsid w:val="00C35802"/>
    <w:rsid w:val="00C43CE1"/>
    <w:rsid w:val="00C6321F"/>
    <w:rsid w:val="00C749EE"/>
    <w:rsid w:val="00CE3A89"/>
    <w:rsid w:val="00D27003"/>
    <w:rsid w:val="00D549E3"/>
    <w:rsid w:val="00D87899"/>
    <w:rsid w:val="00DC5C07"/>
    <w:rsid w:val="00E14D7A"/>
    <w:rsid w:val="00E23546"/>
    <w:rsid w:val="00E26BDA"/>
    <w:rsid w:val="00E5717C"/>
    <w:rsid w:val="00E62170"/>
    <w:rsid w:val="00E80ACD"/>
    <w:rsid w:val="00E92203"/>
    <w:rsid w:val="00E950E7"/>
    <w:rsid w:val="00EA3FD9"/>
    <w:rsid w:val="00EC30FE"/>
    <w:rsid w:val="00ED28ED"/>
    <w:rsid w:val="00F018E7"/>
    <w:rsid w:val="00F249F9"/>
    <w:rsid w:val="00F26BF6"/>
    <w:rsid w:val="00F71660"/>
    <w:rsid w:val="00FC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A3F5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B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3</cp:revision>
  <dcterms:created xsi:type="dcterms:W3CDTF">2026-09-28T12:44:00Z</dcterms:created>
  <dcterms:modified xsi:type="dcterms:W3CDTF">2026-09-28T13:05:00Z</dcterms:modified>
</cp:coreProperties>
</file>